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重庆市学前教育质量监测评价研讨会（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分会场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回执</w:t>
      </w:r>
    </w:p>
    <w:bookmarkEnd w:id="0"/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27"/>
        <w:gridCol w:w="3262"/>
        <w:gridCol w:w="3262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eastAsia="zh-CN"/>
              </w:rPr>
              <w:t>区县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eastAsia="zh-CN"/>
              </w:rPr>
              <w:t>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eastAsia="zh-CN"/>
              </w:rPr>
              <w:t>手机号码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eastAsia="zh-CN"/>
              </w:rPr>
              <w:t>邮箱</w:t>
            </w:r>
          </w:p>
        </w:tc>
        <w:tc>
          <w:tcPr>
            <w:tcW w:w="10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eastAsia="zh-CN"/>
              </w:rPr>
              <w:t>集中参会地点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9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9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9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25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9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1.此回执每个区县均须提交，并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日（星期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）1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:00前报送到市教育评估院邮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箱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cqsxqjyzljcpj@126.com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2.具体组织学前教育相关科室和部门负责人、辖区内所有幼儿园园长集中参加在线会议的线下地点，由各区县安排并填报。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3.分会场联系人手机及邮箱务必填写准确，将用于接收在线会议室账号。</w:t>
      </w:r>
    </w:p>
    <w:p/>
    <w:sectPr>
      <w:pgSz w:w="16838" w:h="11906" w:orient="landscape"/>
      <w:pgMar w:top="1531" w:right="2098" w:bottom="1417" w:left="1984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6682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19234D5"/>
    <w:rsid w:val="24A13502"/>
    <w:rsid w:val="28557E22"/>
    <w:rsid w:val="28E856B0"/>
    <w:rsid w:val="2ABB4733"/>
    <w:rsid w:val="2DE80A79"/>
    <w:rsid w:val="2DED4841"/>
    <w:rsid w:val="32B53134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5FC78BF"/>
    <w:rsid w:val="6AE051E2"/>
    <w:rsid w:val="6D0969D6"/>
    <w:rsid w:val="6D1120CB"/>
    <w:rsid w:val="706D3A92"/>
    <w:rsid w:val="75B4762E"/>
    <w:rsid w:val="76460A5A"/>
    <w:rsid w:val="76986B41"/>
    <w:rsid w:val="79166891"/>
    <w:rsid w:val="7E6A7257"/>
    <w:rsid w:val="7F8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2022-10-28T07:02:00Z</dcterms:created>
  <dc:creator> </dc:creator>
  <cp:lastModifiedBy> </cp:lastModifiedBy>
  <dcterms:modified xsi:type="dcterms:W3CDTF">2022-10-28T07:03:00Z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1BCF5C6651984645B7E64117A4EC50D4</vt:lpwstr>
  </property>
</Properties>
</file>