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sz w:val="32"/>
          <w:szCs w:val="32"/>
        </w:rPr>
      </w:pPr>
      <w:r>
        <w:rPr>
          <w:rFonts w:hint="eastAsia" w:ascii="黑体" w:hAnsi="黑体" w:eastAsia="黑体"/>
          <w:sz w:val="32"/>
          <w:szCs w:val="32"/>
        </w:rPr>
        <w:t>附件4</w:t>
      </w:r>
    </w:p>
    <w:tbl>
      <w:tblPr>
        <w:tblStyle w:val="3"/>
        <w:tblW w:w="8931" w:type="dxa"/>
        <w:tblInd w:w="-176" w:type="dxa"/>
        <w:tblLayout w:type="autofit"/>
        <w:tblCellMar>
          <w:top w:w="0" w:type="dxa"/>
          <w:left w:w="108" w:type="dxa"/>
          <w:bottom w:w="0" w:type="dxa"/>
          <w:right w:w="108" w:type="dxa"/>
        </w:tblCellMar>
      </w:tblPr>
      <w:tblGrid>
        <w:gridCol w:w="496"/>
        <w:gridCol w:w="1335"/>
        <w:gridCol w:w="729"/>
        <w:gridCol w:w="6513"/>
      </w:tblGrid>
      <w:tr>
        <w:tblPrEx>
          <w:tblCellMar>
            <w:top w:w="0" w:type="dxa"/>
            <w:left w:w="108" w:type="dxa"/>
            <w:bottom w:w="0" w:type="dxa"/>
            <w:right w:w="108" w:type="dxa"/>
          </w:tblCellMar>
        </w:tblPrEx>
        <w:trPr>
          <w:trHeight w:val="975" w:hRule="atLeast"/>
        </w:trPr>
        <w:tc>
          <w:tcPr>
            <w:tcW w:w="893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小标宋_GBK" w:hAnsi="宋体" w:eastAsia="方正小标宋_GBK" w:cs="宋体"/>
                <w:color w:val="000000"/>
                <w:kern w:val="0"/>
                <w:sz w:val="30"/>
                <w:szCs w:val="30"/>
              </w:rPr>
            </w:pPr>
            <w:bookmarkStart w:id="0" w:name="_GoBack"/>
            <w:r>
              <w:rPr>
                <w:rFonts w:hint="eastAsia" w:ascii="方正小标宋_GBK" w:hAnsi="宋体" w:eastAsia="方正小标宋_GBK" w:cs="宋体"/>
                <w:color w:val="000000"/>
                <w:kern w:val="0"/>
                <w:sz w:val="30"/>
                <w:szCs w:val="30"/>
              </w:rPr>
              <w:t>重庆市教育评估院1-3楼卫生间维修改造项目竞争性比选评分标准</w:t>
            </w:r>
            <w:bookmarkEnd w:id="0"/>
          </w:p>
        </w:tc>
      </w:tr>
      <w:tr>
        <w:tblPrEx>
          <w:tblCellMar>
            <w:top w:w="0" w:type="dxa"/>
            <w:left w:w="108" w:type="dxa"/>
            <w:bottom w:w="0" w:type="dxa"/>
            <w:right w:w="108" w:type="dxa"/>
          </w:tblCellMar>
        </w:tblPrEx>
        <w:trPr>
          <w:trHeight w:val="680" w:hRule="atLeast"/>
        </w:trPr>
        <w:tc>
          <w:tcPr>
            <w:tcW w:w="3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序号</w:t>
            </w:r>
          </w:p>
        </w:tc>
        <w:tc>
          <w:tcPr>
            <w:tcW w:w="1354" w:type="dxa"/>
            <w:tcBorders>
              <w:top w:val="nil"/>
              <w:left w:val="nil"/>
              <w:bottom w:val="single" w:color="auto" w:sz="4" w:space="0"/>
              <w:right w:val="single" w:color="auto"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评分因素及权值</w:t>
            </w:r>
          </w:p>
        </w:tc>
        <w:tc>
          <w:tcPr>
            <w:tcW w:w="729" w:type="dxa"/>
            <w:tcBorders>
              <w:top w:val="nil"/>
              <w:left w:val="nil"/>
              <w:bottom w:val="single" w:color="auto" w:sz="4" w:space="0"/>
              <w:right w:val="single" w:color="auto" w:sz="4" w:space="0"/>
            </w:tcBorders>
            <w:shd w:val="clear" w:color="auto" w:fill="auto"/>
            <w:noWrap/>
            <w:vAlign w:val="center"/>
          </w:tcPr>
          <w:p>
            <w:pPr>
              <w:widowControl/>
              <w:jc w:val="center"/>
              <w:rPr>
                <w:rFonts w:ascii="方正黑体_GBK" w:hAnsi="宋体" w:eastAsia="方正黑体_GBK" w:cs="宋体"/>
                <w:b/>
                <w:bCs/>
                <w:color w:val="000000"/>
                <w:kern w:val="0"/>
                <w:sz w:val="28"/>
                <w:szCs w:val="28"/>
              </w:rPr>
            </w:pPr>
            <w:r>
              <w:rPr>
                <w:rFonts w:hint="eastAsia" w:ascii="方正黑体_GBK" w:hAnsi="宋体" w:eastAsia="方正黑体_GBK" w:cs="宋体"/>
                <w:b/>
                <w:bCs/>
                <w:color w:val="000000"/>
                <w:kern w:val="0"/>
                <w:sz w:val="28"/>
                <w:szCs w:val="28"/>
              </w:rPr>
              <w:t>分值</w:t>
            </w:r>
          </w:p>
        </w:tc>
        <w:tc>
          <w:tcPr>
            <w:tcW w:w="6513" w:type="dxa"/>
            <w:tcBorders>
              <w:top w:val="nil"/>
              <w:left w:val="nil"/>
              <w:bottom w:val="single" w:color="auto" w:sz="4" w:space="0"/>
              <w:right w:val="single" w:color="auto"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评分标准</w:t>
            </w:r>
          </w:p>
        </w:tc>
      </w:tr>
      <w:tr>
        <w:tblPrEx>
          <w:tblCellMar>
            <w:top w:w="0" w:type="dxa"/>
            <w:left w:w="108" w:type="dxa"/>
            <w:bottom w:w="0" w:type="dxa"/>
            <w:right w:w="108" w:type="dxa"/>
          </w:tblCellMar>
        </w:tblPrEx>
        <w:trPr>
          <w:trHeight w:val="1123" w:hRule="atLeast"/>
        </w:trPr>
        <w:tc>
          <w:tcPr>
            <w:tcW w:w="3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1</w:t>
            </w:r>
          </w:p>
        </w:tc>
        <w:tc>
          <w:tcPr>
            <w:tcW w:w="1354" w:type="dxa"/>
            <w:tcBorders>
              <w:top w:val="nil"/>
              <w:left w:val="nil"/>
              <w:bottom w:val="single" w:color="auto" w:sz="4" w:space="0"/>
              <w:right w:val="single" w:color="auto"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比选报价</w:t>
            </w:r>
            <w:r>
              <w:rPr>
                <w:rFonts w:hint="eastAsia" w:ascii="方正黑体_GBK" w:hAnsi="宋体" w:eastAsia="方正黑体_GBK" w:cs="宋体"/>
                <w:color w:val="000000"/>
                <w:kern w:val="0"/>
                <w:sz w:val="28"/>
                <w:szCs w:val="28"/>
              </w:rPr>
              <w:br w:type="textWrapping"/>
            </w:r>
            <w:r>
              <w:rPr>
                <w:rFonts w:hint="eastAsia" w:ascii="方正黑体_GBK" w:hAnsi="宋体" w:eastAsia="方正黑体_GBK" w:cs="宋体"/>
                <w:color w:val="000000"/>
                <w:kern w:val="0"/>
                <w:sz w:val="28"/>
                <w:szCs w:val="28"/>
              </w:rPr>
              <w:t>（20%）</w:t>
            </w:r>
          </w:p>
        </w:tc>
        <w:tc>
          <w:tcPr>
            <w:tcW w:w="729" w:type="dxa"/>
            <w:tcBorders>
              <w:top w:val="nil"/>
              <w:left w:val="nil"/>
              <w:bottom w:val="single" w:color="auto" w:sz="4" w:space="0"/>
              <w:right w:val="single" w:color="auto"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20分</w:t>
            </w:r>
          </w:p>
        </w:tc>
        <w:tc>
          <w:tcPr>
            <w:tcW w:w="65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满足比选文件资格要求且最后报价最低的供应商的价格为比选基准价，按照下列公式计算每个供应商的比选报价得分。</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比选报价得分=（最低报价/最终报价）×价格分值×100%</w:t>
            </w:r>
          </w:p>
        </w:tc>
      </w:tr>
      <w:tr>
        <w:tblPrEx>
          <w:tblCellMar>
            <w:top w:w="0" w:type="dxa"/>
            <w:left w:w="108" w:type="dxa"/>
            <w:bottom w:w="0" w:type="dxa"/>
            <w:right w:w="108" w:type="dxa"/>
          </w:tblCellMar>
        </w:tblPrEx>
        <w:trPr>
          <w:trHeight w:val="7840" w:hRule="atLeast"/>
        </w:trPr>
        <w:tc>
          <w:tcPr>
            <w:tcW w:w="3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2</w:t>
            </w:r>
          </w:p>
        </w:tc>
        <w:tc>
          <w:tcPr>
            <w:tcW w:w="1354" w:type="dxa"/>
            <w:tcBorders>
              <w:top w:val="nil"/>
              <w:left w:val="nil"/>
              <w:bottom w:val="single" w:color="auto" w:sz="4" w:space="0"/>
              <w:right w:val="single" w:color="auto"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服务部分</w:t>
            </w:r>
            <w:r>
              <w:rPr>
                <w:rFonts w:hint="eastAsia" w:ascii="方正黑体_GBK" w:hAnsi="宋体" w:eastAsia="方正黑体_GBK" w:cs="宋体"/>
                <w:color w:val="000000"/>
                <w:kern w:val="0"/>
                <w:sz w:val="28"/>
                <w:szCs w:val="28"/>
              </w:rPr>
              <w:br w:type="textWrapping"/>
            </w:r>
            <w:r>
              <w:rPr>
                <w:rFonts w:hint="eastAsia" w:ascii="方正黑体_GBK" w:hAnsi="宋体" w:eastAsia="方正黑体_GBK" w:cs="宋体"/>
                <w:color w:val="000000"/>
                <w:kern w:val="0"/>
                <w:sz w:val="28"/>
                <w:szCs w:val="28"/>
              </w:rPr>
              <w:t>（70%）</w:t>
            </w:r>
          </w:p>
        </w:tc>
        <w:tc>
          <w:tcPr>
            <w:tcW w:w="729" w:type="dxa"/>
            <w:tcBorders>
              <w:top w:val="nil"/>
              <w:left w:val="nil"/>
              <w:bottom w:val="single" w:color="auto" w:sz="4" w:space="0"/>
              <w:right w:val="single" w:color="auto"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70分</w:t>
            </w:r>
          </w:p>
        </w:tc>
        <w:tc>
          <w:tcPr>
            <w:tcW w:w="65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1.装修总体设计方案，总体设计图及效果图（20分）。</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    对各投标人装修设计方案及效果图方案进行比较评分。优得16-20分，良得10-15分，差得1-9分，未提供得0分。</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 材料质量（25分）</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    对各供应商所提供材料品牌、质量综合比较进行评分。优得21-25分，良得16-20分，一般得10-15分，差得1-9分,未提供得0分。</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 进度计划10分</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    进度安排满足项目进度要求，关键线路进度安排可行、合理，实现进度安排的保证措施可行，工期安排是否合理可行，在确保质量、降低成本、缩短工期、减轻劳动强度、提高工效等方面所起的作用如何。优秀得7-10分，良好得4-6分，一般得2分，较差或未提供得0分。</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4.施工方案（5分）</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    根据施工方案中的施工方法、施工设备、项目管理机构配备、劳动力计划，确保工程质量、工期、安全和文明施工的技术、组织措施、施工总进度计划、施工平面布置图，对施工现场周围环境污染的保护措施等进行评分。优秀得5分，良好得4分，一般得2分，较差或未提供得0分。</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5.质量管理体系5分</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    质量管理体系是否健全有效，硬性措施是否切实可行，限期工程的赶工措施是否可行。保证措施具有针对性，材料的质量保证措施满足竞争性比选文件及图纸所要求的工程质量要求。优秀得5分，良好得4分，一般得2分，较差或未提供得0分。</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6.安全管理体系5分</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    安全管理体系健全有效，施工安全专项方案及安全管理保证措施具有针对性、文明施工和防止扰民措施是否得当等。优秀得5分，良好得3分，一般得1分，较差或未提供得0分。</w:t>
            </w:r>
          </w:p>
        </w:tc>
      </w:tr>
      <w:tr>
        <w:tblPrEx>
          <w:tblCellMar>
            <w:top w:w="0" w:type="dxa"/>
            <w:left w:w="108" w:type="dxa"/>
            <w:bottom w:w="0" w:type="dxa"/>
            <w:right w:w="108" w:type="dxa"/>
          </w:tblCellMar>
        </w:tblPrEx>
        <w:trPr>
          <w:trHeight w:val="1680" w:hRule="atLeast"/>
        </w:trPr>
        <w:tc>
          <w:tcPr>
            <w:tcW w:w="3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3</w:t>
            </w:r>
          </w:p>
        </w:tc>
        <w:tc>
          <w:tcPr>
            <w:tcW w:w="1354" w:type="dxa"/>
            <w:tcBorders>
              <w:top w:val="nil"/>
              <w:left w:val="nil"/>
              <w:bottom w:val="single" w:color="auto" w:sz="4" w:space="0"/>
              <w:right w:val="single" w:color="auto"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商务部分</w:t>
            </w:r>
            <w:r>
              <w:rPr>
                <w:rFonts w:hint="eastAsia" w:ascii="方正黑体_GBK" w:hAnsi="宋体" w:eastAsia="方正黑体_GBK" w:cs="宋体"/>
                <w:color w:val="000000"/>
                <w:kern w:val="0"/>
                <w:sz w:val="28"/>
                <w:szCs w:val="28"/>
              </w:rPr>
              <w:br w:type="textWrapping"/>
            </w:r>
            <w:r>
              <w:rPr>
                <w:rFonts w:hint="eastAsia" w:ascii="方正黑体_GBK" w:hAnsi="宋体" w:eastAsia="方正黑体_GBK" w:cs="宋体"/>
                <w:color w:val="000000"/>
                <w:kern w:val="0"/>
                <w:sz w:val="28"/>
                <w:szCs w:val="28"/>
              </w:rPr>
              <w:t>（10%）</w:t>
            </w:r>
          </w:p>
        </w:tc>
        <w:tc>
          <w:tcPr>
            <w:tcW w:w="729" w:type="dxa"/>
            <w:tcBorders>
              <w:top w:val="nil"/>
              <w:left w:val="nil"/>
              <w:bottom w:val="single" w:color="auto" w:sz="4" w:space="0"/>
              <w:right w:val="single" w:color="auto"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10分</w:t>
            </w:r>
          </w:p>
        </w:tc>
        <w:tc>
          <w:tcPr>
            <w:tcW w:w="65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1、售后服务机构设置5分</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   所提供产品制造商（或供应商）在重庆本地有售后服务机构或在重庆本地有授权服务机构得5分。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2、保修期（5分）</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   保修期在满足比选文件要求的前提下，每增加一年加1分，最多得5分。</w:t>
            </w:r>
          </w:p>
        </w:tc>
      </w:tr>
    </w:tbl>
    <w:p>
      <w:pPr>
        <w:spacing w:line="560" w:lineRule="exact"/>
        <w:jc w:val="center"/>
        <w:rPr>
          <w:rFonts w:ascii="方正仿宋_GBK" w:hAnsi="宋体" w:eastAsia="方正仿宋_GBK"/>
          <w:sz w:val="32"/>
          <w:szCs w:val="32"/>
        </w:rPr>
      </w:pPr>
    </w:p>
    <w:p/>
    <w:sectPr>
      <w:footerReference r:id="rId3" w:type="default"/>
      <w:pgSz w:w="11906" w:h="16838"/>
      <w:pgMar w:top="1440" w:right="1800" w:bottom="1440" w:left="1800" w:header="851"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851854"/>
    </w:sdtPr>
    <w:sdtContent>
      <w:p>
        <w:pPr>
          <w:pStyle w:val="2"/>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D5635B"/>
    <w:rsid w:val="02706AA1"/>
    <w:rsid w:val="02CC1218"/>
    <w:rsid w:val="06522920"/>
    <w:rsid w:val="083C2A4A"/>
    <w:rsid w:val="15D0679F"/>
    <w:rsid w:val="17E9662F"/>
    <w:rsid w:val="1DD426B5"/>
    <w:rsid w:val="1EF043F4"/>
    <w:rsid w:val="24A13502"/>
    <w:rsid w:val="28557E22"/>
    <w:rsid w:val="2ABB4733"/>
    <w:rsid w:val="2DE80A79"/>
    <w:rsid w:val="2DED4841"/>
    <w:rsid w:val="32B53134"/>
    <w:rsid w:val="367C5E2B"/>
    <w:rsid w:val="36D9306A"/>
    <w:rsid w:val="396C681C"/>
    <w:rsid w:val="3BBD142B"/>
    <w:rsid w:val="414C1016"/>
    <w:rsid w:val="44D5635B"/>
    <w:rsid w:val="47295351"/>
    <w:rsid w:val="485574B8"/>
    <w:rsid w:val="4B6B4177"/>
    <w:rsid w:val="4EE7350E"/>
    <w:rsid w:val="4F0E275D"/>
    <w:rsid w:val="54F31216"/>
    <w:rsid w:val="591619E7"/>
    <w:rsid w:val="5989581B"/>
    <w:rsid w:val="5ECD23EC"/>
    <w:rsid w:val="5EF72146"/>
    <w:rsid w:val="5F122BF0"/>
    <w:rsid w:val="640D648C"/>
    <w:rsid w:val="64A32ED1"/>
    <w:rsid w:val="6AE051E2"/>
    <w:rsid w:val="6D0969D6"/>
    <w:rsid w:val="706D3A92"/>
    <w:rsid w:val="75B4762E"/>
    <w:rsid w:val="76460A5A"/>
    <w:rsid w:val="76986B41"/>
    <w:rsid w:val="79166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2022-06-20T01:03:00Z</dcterms:created>
  <dc:creator> </dc:creator>
  <cp:lastModifiedBy> </cp:lastModifiedBy>
  <dcterms:modified xsi:type="dcterms:W3CDTF">2022-06-20T01:04:11Z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4C2E6DBCD2CC429EB619F37E71D37B26</vt:lpwstr>
  </property>
</Properties>
</file>